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eastAsia="zh-CN"/>
        </w:rPr>
        <w:t>第七批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市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eastAsia="zh-CN"/>
        </w:rPr>
        <w:t>管社会组织评估等级名单</w:t>
      </w:r>
    </w:p>
    <w:bookmarkEnd w:id="0"/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一、5A级社会组织（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家）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威海市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物业管理协会</w:t>
      </w:r>
    </w:p>
    <w:p>
      <w:pPr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二、4A级社会组织（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家）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威海市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老科技工作者协会</w:t>
      </w:r>
    </w:p>
    <w:p>
      <w:pPr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A级社会组织（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家）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威海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华艺国粹文化基金会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A7EBA"/>
    <w:rsid w:val="154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2020-12-28T09:40:00Z</dcterms:created>
  <dc:creator>Administrator</dc:creator>
  <cp:lastModifiedBy>Administrator</cp:lastModifiedBy>
  <dcterms:modified xsi:type="dcterms:W3CDTF">2020-12-28T09:41:09Z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